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DF5B55">
        <w:rPr>
          <w:b/>
          <w:bCs/>
          <w:color w:val="1F497D" w:themeColor="text2"/>
          <w:sz w:val="18"/>
          <w:szCs w:val="18"/>
        </w:rPr>
        <w:t>Leadership professionale e autorevolezza</w:t>
      </w:r>
      <w:r w:rsidR="00B54AF7">
        <w:rPr>
          <w:b/>
          <w:bCs/>
          <w:color w:val="1F497D" w:themeColor="text2"/>
          <w:sz w:val="18"/>
          <w:szCs w:val="18"/>
        </w:rPr>
        <w:t>: guidare, gestire, motivare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943D87" w:rsidRDefault="00392C8F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23 maggio 2018</w:t>
      </w:r>
      <w:bookmarkStart w:id="0" w:name="_GoBack"/>
      <w:bookmarkEnd w:id="0"/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D71CC5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€ 350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D71CC5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€ 450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392C8F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1140D8"/>
    <w:rsid w:val="0015175A"/>
    <w:rsid w:val="001632DE"/>
    <w:rsid w:val="00201560"/>
    <w:rsid w:val="002021D2"/>
    <w:rsid w:val="0022141B"/>
    <w:rsid w:val="002702E4"/>
    <w:rsid w:val="00270A19"/>
    <w:rsid w:val="0033452D"/>
    <w:rsid w:val="00392C8F"/>
    <w:rsid w:val="003972C5"/>
    <w:rsid w:val="003B1C42"/>
    <w:rsid w:val="004A6BDD"/>
    <w:rsid w:val="004B3110"/>
    <w:rsid w:val="005171BA"/>
    <w:rsid w:val="005F7A63"/>
    <w:rsid w:val="00720FB6"/>
    <w:rsid w:val="007327EB"/>
    <w:rsid w:val="00742A93"/>
    <w:rsid w:val="007439A7"/>
    <w:rsid w:val="00752CD4"/>
    <w:rsid w:val="00791E65"/>
    <w:rsid w:val="00795C2A"/>
    <w:rsid w:val="008847BA"/>
    <w:rsid w:val="009358A0"/>
    <w:rsid w:val="009432F6"/>
    <w:rsid w:val="00943D87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54AF7"/>
    <w:rsid w:val="00BD22A8"/>
    <w:rsid w:val="00C54512"/>
    <w:rsid w:val="00D37F14"/>
    <w:rsid w:val="00D4179C"/>
    <w:rsid w:val="00D71CC5"/>
    <w:rsid w:val="00DF5B55"/>
    <w:rsid w:val="00E154E6"/>
    <w:rsid w:val="00E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2012-12-10T11:51:00Z</cp:lastPrinted>
  <dcterms:created xsi:type="dcterms:W3CDTF">2018-03-13T15:51:00Z</dcterms:created>
  <dcterms:modified xsi:type="dcterms:W3CDTF">2018-03-13T15:51:00Z</dcterms:modified>
</cp:coreProperties>
</file>