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B57F01">
        <w:rPr>
          <w:color w:val="1F497D" w:themeColor="text2"/>
          <w:sz w:val="16"/>
          <w:szCs w:val="16"/>
        </w:rPr>
        <w:t>Il Magazzino fiscale</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bookmarkStart w:id="0" w:name="_GoBack"/>
      <w:bookmarkEnd w:id="0"/>
    </w:p>
    <w:p w:rsidR="000E6791" w:rsidRPr="00A76A5E" w:rsidRDefault="00B57F01" w:rsidP="00C52CA3">
      <w:pPr>
        <w:spacing w:after="0" w:line="240" w:lineRule="auto"/>
        <w:jc w:val="center"/>
        <w:rPr>
          <w:b/>
          <w:color w:val="1F497D" w:themeColor="text2"/>
          <w:sz w:val="16"/>
          <w:szCs w:val="16"/>
        </w:rPr>
      </w:pPr>
      <w:r>
        <w:rPr>
          <w:b/>
          <w:color w:val="1F497D" w:themeColor="text2"/>
          <w:sz w:val="16"/>
          <w:szCs w:val="16"/>
        </w:rPr>
        <w:t>6 ottobre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57F01"/>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EE0C-5B69-4D01-A086-5E5B310B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2020-06-29T12:49:00Z</dcterms:created>
  <dcterms:modified xsi:type="dcterms:W3CDTF">2020-06-29T12:49:00Z</dcterms:modified>
</cp:coreProperties>
</file>